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352" w:rsidRPr="00303970" w:rsidRDefault="004E0352" w:rsidP="004E0352">
      <w:pPr>
        <w:pStyle w:val="Sous-titre"/>
        <w:ind w:left="4962"/>
        <w:rPr>
          <w:sz w:val="20"/>
          <w:szCs w:val="20"/>
        </w:rPr>
      </w:pPr>
      <w:r w:rsidRPr="00303970">
        <w:rPr>
          <w:sz w:val="20"/>
          <w:szCs w:val="20"/>
        </w:rPr>
        <w:t>#NOM CLIENT#</w:t>
      </w:r>
    </w:p>
    <w:p w:rsidR="004E0352" w:rsidRPr="00303970" w:rsidRDefault="004E0352" w:rsidP="004E0352">
      <w:pPr>
        <w:ind w:firstLine="4962"/>
        <w:jc w:val="both"/>
        <w:rPr>
          <w:rFonts w:asciiTheme="majorHAnsi" w:hAnsiTheme="majorHAnsi"/>
          <w:sz w:val="20"/>
          <w:szCs w:val="20"/>
        </w:rPr>
      </w:pPr>
      <w:r w:rsidRPr="00303970">
        <w:rPr>
          <w:rFonts w:asciiTheme="majorHAnsi" w:hAnsiTheme="majorHAnsi"/>
          <w:sz w:val="20"/>
          <w:szCs w:val="20"/>
        </w:rPr>
        <w:t>#ADD 1#</w:t>
      </w:r>
    </w:p>
    <w:p w:rsidR="004E0352" w:rsidRPr="00303970" w:rsidRDefault="004E0352" w:rsidP="004E0352">
      <w:pPr>
        <w:ind w:firstLine="4962"/>
        <w:jc w:val="both"/>
        <w:rPr>
          <w:rFonts w:asciiTheme="majorHAnsi" w:hAnsiTheme="majorHAnsi"/>
          <w:sz w:val="20"/>
          <w:szCs w:val="20"/>
        </w:rPr>
      </w:pPr>
      <w:r w:rsidRPr="00303970">
        <w:rPr>
          <w:rFonts w:asciiTheme="majorHAnsi" w:hAnsiTheme="majorHAnsi"/>
          <w:sz w:val="20"/>
          <w:szCs w:val="20"/>
        </w:rPr>
        <w:t>#ADD 2#</w:t>
      </w:r>
    </w:p>
    <w:p w:rsidR="004E0352" w:rsidRPr="00303970" w:rsidRDefault="004E0352" w:rsidP="004E0352">
      <w:pPr>
        <w:ind w:firstLine="4962"/>
        <w:jc w:val="both"/>
        <w:rPr>
          <w:rFonts w:asciiTheme="majorHAnsi" w:hAnsiTheme="majorHAnsi"/>
          <w:sz w:val="20"/>
          <w:szCs w:val="20"/>
        </w:rPr>
      </w:pPr>
      <w:r w:rsidRPr="00303970">
        <w:rPr>
          <w:rFonts w:asciiTheme="majorHAnsi" w:hAnsiTheme="majorHAnsi"/>
          <w:sz w:val="20"/>
          <w:szCs w:val="20"/>
        </w:rPr>
        <w:t>#CP# #VILLE#</w:t>
      </w:r>
    </w:p>
    <w:p w:rsidR="004E0352" w:rsidRPr="00303970" w:rsidRDefault="004E0352" w:rsidP="004E0352">
      <w:pPr>
        <w:ind w:firstLine="4962"/>
        <w:jc w:val="both"/>
        <w:rPr>
          <w:rFonts w:asciiTheme="majorHAnsi" w:hAnsiTheme="majorHAnsi"/>
          <w:sz w:val="20"/>
          <w:szCs w:val="20"/>
        </w:rPr>
      </w:pPr>
    </w:p>
    <w:p w:rsidR="004E0352" w:rsidRPr="00303970" w:rsidRDefault="004E0352" w:rsidP="004E0352">
      <w:pPr>
        <w:ind w:firstLine="4962"/>
        <w:jc w:val="both"/>
        <w:rPr>
          <w:rFonts w:asciiTheme="majorHAnsi" w:hAnsiTheme="majorHAnsi"/>
          <w:b/>
          <w:sz w:val="20"/>
          <w:szCs w:val="20"/>
        </w:rPr>
      </w:pPr>
      <w:r w:rsidRPr="00303970">
        <w:rPr>
          <w:rFonts w:asciiTheme="majorHAnsi" w:hAnsiTheme="majorHAnsi"/>
          <w:b/>
          <w:sz w:val="20"/>
          <w:szCs w:val="20"/>
        </w:rPr>
        <w:t>A l’attention de #GENRE# #PRENOM# #NOM#</w:t>
      </w:r>
    </w:p>
    <w:p w:rsidR="004E0352" w:rsidRPr="00303970" w:rsidRDefault="004E0352" w:rsidP="004E0352">
      <w:pPr>
        <w:jc w:val="both"/>
        <w:rPr>
          <w:rFonts w:asciiTheme="majorHAnsi" w:hAnsiTheme="majorHAnsi"/>
          <w:sz w:val="20"/>
          <w:szCs w:val="20"/>
        </w:rPr>
      </w:pPr>
    </w:p>
    <w:p w:rsidR="004E0352" w:rsidRPr="00303970" w:rsidRDefault="004E0352" w:rsidP="004E0352">
      <w:pPr>
        <w:ind w:firstLine="4962"/>
        <w:jc w:val="both"/>
        <w:rPr>
          <w:rFonts w:asciiTheme="majorHAnsi" w:hAnsiTheme="majorHAnsi"/>
          <w:sz w:val="20"/>
          <w:szCs w:val="20"/>
        </w:rPr>
      </w:pPr>
      <w:r w:rsidRPr="00303970">
        <w:rPr>
          <w:rFonts w:asciiTheme="majorHAnsi" w:hAnsiTheme="majorHAnsi"/>
          <w:sz w:val="20"/>
          <w:szCs w:val="20"/>
        </w:rPr>
        <w:t xml:space="preserve">Paris, le </w:t>
      </w:r>
      <w:r w:rsidRPr="00303970">
        <w:rPr>
          <w:rFonts w:asciiTheme="majorHAnsi" w:hAnsiTheme="majorHAnsi"/>
          <w:sz w:val="20"/>
          <w:szCs w:val="20"/>
        </w:rPr>
        <w:fldChar w:fldCharType="begin"/>
      </w:r>
      <w:r w:rsidRPr="00303970">
        <w:rPr>
          <w:rFonts w:asciiTheme="majorHAnsi" w:hAnsiTheme="majorHAnsi"/>
          <w:sz w:val="20"/>
          <w:szCs w:val="20"/>
        </w:rPr>
        <w:instrText xml:space="preserve"> TIME \@ "dddd d MMMM y" </w:instrText>
      </w:r>
      <w:r w:rsidRPr="00303970">
        <w:rPr>
          <w:rFonts w:asciiTheme="majorHAnsi" w:hAnsiTheme="majorHAnsi"/>
          <w:sz w:val="20"/>
          <w:szCs w:val="20"/>
        </w:rPr>
        <w:fldChar w:fldCharType="separate"/>
      </w:r>
      <w:r w:rsidR="00E0691A">
        <w:rPr>
          <w:rFonts w:asciiTheme="majorHAnsi" w:hAnsiTheme="majorHAnsi"/>
          <w:noProof/>
          <w:sz w:val="20"/>
          <w:szCs w:val="20"/>
        </w:rPr>
        <w:t>mardi 29 novembre y</w:t>
      </w:r>
      <w:r w:rsidRPr="00303970">
        <w:rPr>
          <w:rFonts w:asciiTheme="majorHAnsi" w:hAnsiTheme="majorHAnsi"/>
          <w:sz w:val="20"/>
          <w:szCs w:val="20"/>
        </w:rPr>
        <w:fldChar w:fldCharType="end"/>
      </w:r>
    </w:p>
    <w:p w:rsidR="004E0352" w:rsidRDefault="004E0352" w:rsidP="004E0352">
      <w:pPr>
        <w:rPr>
          <w:rFonts w:asciiTheme="majorHAnsi" w:hAnsiTheme="majorHAnsi"/>
          <w:sz w:val="20"/>
          <w:szCs w:val="20"/>
        </w:rPr>
      </w:pPr>
    </w:p>
    <w:p w:rsidR="00D2633C" w:rsidRPr="00D2633C" w:rsidRDefault="00D2633C" w:rsidP="004E0352">
      <w:pPr>
        <w:rPr>
          <w:rFonts w:asciiTheme="majorHAnsi" w:hAnsiTheme="majorHAnsi"/>
          <w:sz w:val="20"/>
          <w:szCs w:val="20"/>
          <w:u w:val="single"/>
        </w:rPr>
      </w:pPr>
      <w:r w:rsidRPr="00E0691A">
        <w:rPr>
          <w:rFonts w:asciiTheme="majorHAnsi" w:hAnsiTheme="majorHAnsi"/>
          <w:sz w:val="20"/>
          <w:szCs w:val="20"/>
          <w:u w:val="single"/>
        </w:rPr>
        <w:t>Par LRAR</w:t>
      </w:r>
      <w:r w:rsidRPr="00D2633C">
        <w:rPr>
          <w:rFonts w:asciiTheme="majorHAnsi" w:hAnsiTheme="majorHAnsi"/>
          <w:sz w:val="20"/>
          <w:szCs w:val="20"/>
          <w:u w:val="single"/>
        </w:rPr>
        <w:t xml:space="preserve"> </w:t>
      </w:r>
    </w:p>
    <w:p w:rsidR="00D2633C" w:rsidRPr="00303970" w:rsidRDefault="00D2633C" w:rsidP="004E0352">
      <w:pPr>
        <w:rPr>
          <w:rFonts w:asciiTheme="majorHAnsi" w:hAnsiTheme="majorHAnsi"/>
          <w:sz w:val="20"/>
          <w:szCs w:val="20"/>
        </w:rPr>
      </w:pPr>
    </w:p>
    <w:p w:rsidR="004E0352" w:rsidRPr="00303970" w:rsidRDefault="004E0352" w:rsidP="004E0352">
      <w:pPr>
        <w:rPr>
          <w:rStyle w:val="A1"/>
          <w:rFonts w:asciiTheme="majorHAnsi" w:hAnsiTheme="majorHAnsi" w:cs="Arial"/>
          <w:b/>
          <w:color w:val="1F497D" w:themeColor="text2"/>
          <w:sz w:val="20"/>
          <w:szCs w:val="20"/>
        </w:rPr>
      </w:pPr>
      <w:r w:rsidRPr="00303970">
        <w:rPr>
          <w:rStyle w:val="A1"/>
          <w:rFonts w:asciiTheme="majorHAnsi" w:hAnsiTheme="majorHAnsi" w:cs="Arial"/>
          <w:b/>
          <w:color w:val="auto"/>
          <w:sz w:val="20"/>
          <w:szCs w:val="20"/>
        </w:rPr>
        <w:t>Objet :</w:t>
      </w:r>
      <w:r w:rsidRPr="00303970">
        <w:rPr>
          <w:rStyle w:val="A1"/>
          <w:rFonts w:asciiTheme="majorHAnsi" w:hAnsiTheme="majorHAnsi" w:cs="Arial"/>
          <w:b/>
          <w:color w:val="1F497D" w:themeColor="text2"/>
          <w:sz w:val="20"/>
          <w:szCs w:val="20"/>
        </w:rPr>
        <w:t xml:space="preserve"> </w:t>
      </w:r>
      <w:r w:rsidRPr="00303970">
        <w:rPr>
          <w:rStyle w:val="A1"/>
          <w:rFonts w:asciiTheme="majorHAnsi" w:hAnsiTheme="majorHAnsi" w:cs="Arial"/>
          <w:b/>
          <w:color w:val="0F70E1"/>
          <w:sz w:val="20"/>
          <w:szCs w:val="20"/>
        </w:rPr>
        <w:t>Mise en œuvre de la sécurité de vos Autocommutateur PABX</w:t>
      </w:r>
    </w:p>
    <w:p w:rsidR="004E0352" w:rsidRPr="00303970" w:rsidRDefault="004E0352" w:rsidP="00D901C2">
      <w:pPr>
        <w:tabs>
          <w:tab w:val="left" w:pos="1134"/>
        </w:tabs>
        <w:autoSpaceDE w:val="0"/>
        <w:autoSpaceDN w:val="0"/>
        <w:adjustRightInd w:val="0"/>
        <w:spacing w:line="24" w:lineRule="atLeast"/>
        <w:jc w:val="both"/>
        <w:rPr>
          <w:rFonts w:asciiTheme="majorHAnsi" w:hAnsiTheme="majorHAnsi" w:cs="Arial"/>
          <w:b/>
          <w:sz w:val="20"/>
          <w:szCs w:val="20"/>
        </w:rPr>
      </w:pPr>
    </w:p>
    <w:p w:rsidR="004E0352" w:rsidRPr="00303970" w:rsidRDefault="004E0352" w:rsidP="00D901C2">
      <w:pPr>
        <w:tabs>
          <w:tab w:val="left" w:pos="1134"/>
        </w:tabs>
        <w:autoSpaceDE w:val="0"/>
        <w:autoSpaceDN w:val="0"/>
        <w:adjustRightInd w:val="0"/>
        <w:spacing w:line="24" w:lineRule="atLeast"/>
        <w:jc w:val="both"/>
        <w:rPr>
          <w:rFonts w:asciiTheme="majorHAnsi" w:hAnsiTheme="majorHAnsi" w:cs="Arial"/>
          <w:sz w:val="20"/>
          <w:szCs w:val="20"/>
        </w:rPr>
      </w:pPr>
      <w:r w:rsidRPr="00303970">
        <w:rPr>
          <w:rFonts w:asciiTheme="majorHAnsi" w:hAnsiTheme="majorHAnsi" w:cs="Arial"/>
          <w:sz w:val="20"/>
          <w:szCs w:val="20"/>
        </w:rPr>
        <w:t>Madame, Monsieur, Cher client,</w:t>
      </w:r>
      <w:r w:rsidRPr="00303970">
        <w:rPr>
          <w:rFonts w:asciiTheme="majorHAnsi" w:hAnsiTheme="majorHAnsi"/>
          <w:snapToGrid w:val="0"/>
          <w:color w:val="000000"/>
          <w:w w:val="0"/>
          <w:sz w:val="20"/>
          <w:szCs w:val="20"/>
          <w:u w:color="000000"/>
          <w:bdr w:val="none" w:sz="0" w:space="0" w:color="000000"/>
          <w:shd w:val="clear" w:color="000000" w:fill="000000"/>
          <w:lang w:val="x-none" w:eastAsia="x-none" w:bidi="x-none"/>
        </w:rPr>
        <w:t xml:space="preserve"> </w:t>
      </w:r>
    </w:p>
    <w:p w:rsidR="004E0352" w:rsidRPr="00303970" w:rsidRDefault="004E0352" w:rsidP="00D901C2">
      <w:pPr>
        <w:pStyle w:val="NormalWeb"/>
        <w:spacing w:before="120" w:beforeAutospacing="0" w:after="120" w:afterAutospacing="0"/>
        <w:jc w:val="both"/>
        <w:rPr>
          <w:rFonts w:asciiTheme="majorHAnsi" w:hAnsiTheme="majorHAnsi" w:cs="Arial"/>
        </w:rPr>
      </w:pPr>
      <w:r w:rsidRPr="00303970">
        <w:rPr>
          <w:rFonts w:asciiTheme="majorHAnsi" w:hAnsiTheme="majorHAnsi" w:cs="Arial"/>
        </w:rPr>
        <w:t>Toujours soucieux de votre sécurité, nous sommes amenés à vous rappeler que les risques d</w:t>
      </w:r>
      <w:r w:rsidRPr="00303970">
        <w:rPr>
          <w:rFonts w:asciiTheme="majorHAnsi" w:hAnsiTheme="majorHAnsi" w:cs="Arial" w:hint="eastAsia"/>
        </w:rPr>
        <w:t>’</w:t>
      </w:r>
      <w:r w:rsidRPr="00303970">
        <w:rPr>
          <w:rFonts w:asciiTheme="majorHAnsi" w:hAnsiTheme="majorHAnsi" w:cs="Arial"/>
        </w:rPr>
        <w:t>attaques envers les autocommutateurs téléphoniques (PABX) reportés au CERT-FR</w:t>
      </w:r>
      <w:r w:rsidRPr="00303970">
        <w:rPr>
          <w:rFonts w:asciiTheme="majorHAnsi" w:hAnsiTheme="majorHAnsi" w:cs="Arial"/>
          <w:vertAlign w:val="superscript"/>
        </w:rPr>
        <w:t>*</w:t>
      </w:r>
      <w:r w:rsidRPr="00303970">
        <w:rPr>
          <w:rFonts w:asciiTheme="majorHAnsi" w:hAnsiTheme="majorHAnsi" w:cs="Arial"/>
        </w:rPr>
        <w:t xml:space="preserve"> sont de plus en plus nombreux. </w:t>
      </w:r>
    </w:p>
    <w:p w:rsidR="004E0352" w:rsidRPr="00303970" w:rsidRDefault="004E0352" w:rsidP="00D901C2">
      <w:pPr>
        <w:pStyle w:val="NormalWeb"/>
        <w:spacing w:before="120" w:beforeAutospacing="0" w:after="120" w:afterAutospacing="0"/>
        <w:jc w:val="both"/>
        <w:rPr>
          <w:rFonts w:asciiTheme="majorHAnsi" w:hAnsiTheme="majorHAnsi" w:cs="Arial"/>
        </w:rPr>
      </w:pPr>
      <w:r w:rsidRPr="00303970">
        <w:rPr>
          <w:rFonts w:asciiTheme="majorHAnsi" w:hAnsiTheme="majorHAnsi" w:cs="Arial"/>
        </w:rPr>
        <w:t xml:space="preserve">Nous vous demandons donc de prêter une attention toute particulière à la sécurité́ de vos PABX, en appliquant, à minima, les mesures suivantes : </w:t>
      </w:r>
    </w:p>
    <w:p w:rsidR="004E0352" w:rsidRPr="00E0691A" w:rsidRDefault="004E0352" w:rsidP="00D901C2">
      <w:pPr>
        <w:pStyle w:val="NormalWeb"/>
        <w:numPr>
          <w:ilvl w:val="0"/>
          <w:numId w:val="1"/>
        </w:numPr>
        <w:spacing w:before="120" w:beforeAutospacing="0"/>
        <w:ind w:left="714" w:hanging="357"/>
        <w:jc w:val="both"/>
        <w:rPr>
          <w:rFonts w:asciiTheme="majorHAnsi" w:hAnsiTheme="majorHAnsi"/>
        </w:rPr>
      </w:pPr>
      <w:r w:rsidRPr="00E0691A">
        <w:rPr>
          <w:rFonts w:asciiTheme="majorHAnsi" w:hAnsiTheme="majorHAnsi"/>
        </w:rPr>
        <w:t xml:space="preserve">Vérifier le contrat de maintenance ou d’externalisation de l’exploitation associés à votre équipement. </w:t>
      </w:r>
      <w:r w:rsidR="00D901C2" w:rsidRPr="00E0691A">
        <w:rPr>
          <w:rFonts w:asciiTheme="majorHAnsi" w:hAnsiTheme="majorHAnsi"/>
        </w:rPr>
        <w:t xml:space="preserve">Si aucune </w:t>
      </w:r>
      <w:r w:rsidR="00A42F97" w:rsidRPr="00E0691A">
        <w:rPr>
          <w:rFonts w:asciiTheme="majorHAnsi" w:hAnsiTheme="majorHAnsi"/>
        </w:rPr>
        <w:t xml:space="preserve">obligation de surveillance du système </w:t>
      </w:r>
      <w:r w:rsidR="00D901C2" w:rsidRPr="00E0691A">
        <w:rPr>
          <w:rFonts w:asciiTheme="majorHAnsi" w:hAnsiTheme="majorHAnsi"/>
        </w:rPr>
        <w:t xml:space="preserve">n’est prévue dans le contrat, souscrivez </w:t>
      </w:r>
      <w:r w:rsidR="00A42F97" w:rsidRPr="00E0691A">
        <w:rPr>
          <w:rFonts w:asciiTheme="majorHAnsi" w:hAnsiTheme="majorHAnsi"/>
        </w:rPr>
        <w:t xml:space="preserve">une prestation de </w:t>
      </w:r>
      <w:r w:rsidRPr="00E0691A">
        <w:rPr>
          <w:rFonts w:asciiTheme="majorHAnsi" w:hAnsiTheme="majorHAnsi"/>
        </w:rPr>
        <w:t>surveillance du système par le prestataire (journ</w:t>
      </w:r>
      <w:r w:rsidR="00A42F97" w:rsidRPr="00E0691A">
        <w:rPr>
          <w:rFonts w:asciiTheme="majorHAnsi" w:hAnsiTheme="majorHAnsi"/>
        </w:rPr>
        <w:t>aux, relevés d’incidents, etc.) avec</w:t>
      </w:r>
      <w:r w:rsidRPr="00E0691A">
        <w:rPr>
          <w:rFonts w:asciiTheme="majorHAnsi" w:hAnsiTheme="majorHAnsi"/>
        </w:rPr>
        <w:t xml:space="preserve"> protocoles de transmissions d’informations et d’alerte ainsi qu’une assurance contre la fraude téléphonique; </w:t>
      </w:r>
    </w:p>
    <w:p w:rsidR="004E0352" w:rsidRPr="00E0691A" w:rsidRDefault="004E0352" w:rsidP="00D901C2">
      <w:pPr>
        <w:pStyle w:val="NormalWeb"/>
        <w:numPr>
          <w:ilvl w:val="0"/>
          <w:numId w:val="1"/>
        </w:numPr>
        <w:jc w:val="both"/>
        <w:rPr>
          <w:rFonts w:asciiTheme="majorHAnsi" w:hAnsiTheme="majorHAnsi"/>
        </w:rPr>
      </w:pPr>
      <w:r w:rsidRPr="00E0691A">
        <w:rPr>
          <w:rFonts w:asciiTheme="majorHAnsi" w:hAnsiTheme="majorHAnsi"/>
        </w:rPr>
        <w:t>Intégrer l’autocommutateur au référentiel de sécurité́, au même titre que les autres composants du système d’information ;</w:t>
      </w:r>
    </w:p>
    <w:p w:rsidR="004E0352" w:rsidRPr="00E0691A" w:rsidRDefault="00D901C2" w:rsidP="00D901C2">
      <w:pPr>
        <w:pStyle w:val="NormalWeb"/>
        <w:numPr>
          <w:ilvl w:val="0"/>
          <w:numId w:val="1"/>
        </w:numPr>
        <w:jc w:val="both"/>
        <w:rPr>
          <w:rFonts w:asciiTheme="majorHAnsi" w:hAnsiTheme="majorHAnsi"/>
        </w:rPr>
      </w:pPr>
      <w:r w:rsidRPr="00E0691A">
        <w:rPr>
          <w:rFonts w:asciiTheme="majorHAnsi" w:hAnsiTheme="majorHAnsi"/>
        </w:rPr>
        <w:t>Assurez-vous</w:t>
      </w:r>
      <w:r w:rsidR="004E0352" w:rsidRPr="00E0691A">
        <w:rPr>
          <w:rFonts w:asciiTheme="majorHAnsi" w:hAnsiTheme="majorHAnsi"/>
        </w:rPr>
        <w:t xml:space="preserve"> de bénéficier de la dernière mise à jour de votre PABX ;</w:t>
      </w:r>
    </w:p>
    <w:p w:rsidR="004E0352" w:rsidRPr="00E0691A" w:rsidRDefault="004E0352" w:rsidP="00D901C2">
      <w:pPr>
        <w:pStyle w:val="NormalWeb"/>
        <w:numPr>
          <w:ilvl w:val="0"/>
          <w:numId w:val="1"/>
        </w:numPr>
        <w:jc w:val="both"/>
        <w:rPr>
          <w:rFonts w:asciiTheme="majorHAnsi" w:hAnsiTheme="majorHAnsi"/>
        </w:rPr>
      </w:pPr>
      <w:r w:rsidRPr="00E0691A">
        <w:rPr>
          <w:rFonts w:asciiTheme="majorHAnsi" w:hAnsiTheme="majorHAnsi"/>
        </w:rPr>
        <w:t xml:space="preserve">Qualifier puis appliquer les derniers correctifs de sécurité́ du constructeur ; </w:t>
      </w:r>
    </w:p>
    <w:p w:rsidR="004E0352" w:rsidRPr="00E0691A" w:rsidRDefault="004E0352" w:rsidP="00D901C2">
      <w:pPr>
        <w:pStyle w:val="NormalWeb"/>
        <w:numPr>
          <w:ilvl w:val="0"/>
          <w:numId w:val="1"/>
        </w:numPr>
        <w:jc w:val="both"/>
        <w:rPr>
          <w:rFonts w:asciiTheme="majorHAnsi" w:hAnsiTheme="majorHAnsi"/>
        </w:rPr>
      </w:pPr>
      <w:r w:rsidRPr="00E0691A">
        <w:rPr>
          <w:rFonts w:asciiTheme="majorHAnsi" w:hAnsiTheme="majorHAnsi"/>
        </w:rPr>
        <w:t xml:space="preserve">Appliquer une politique de mots de passe forts </w:t>
      </w:r>
      <w:r w:rsidR="00D901C2" w:rsidRPr="00E0691A">
        <w:rPr>
          <w:rFonts w:asciiTheme="majorHAnsi" w:hAnsiTheme="majorHAnsi"/>
        </w:rPr>
        <w:t xml:space="preserve">qui devront être régulièrement changés </w:t>
      </w:r>
      <w:r w:rsidRPr="00E0691A">
        <w:rPr>
          <w:rFonts w:asciiTheme="majorHAnsi" w:hAnsiTheme="majorHAnsi"/>
        </w:rPr>
        <w:t xml:space="preserve">pour l’administration de l’autocommutateur ; </w:t>
      </w:r>
    </w:p>
    <w:p w:rsidR="004E0352" w:rsidRPr="00E0691A" w:rsidRDefault="004E0352" w:rsidP="00D901C2">
      <w:pPr>
        <w:pStyle w:val="NormalWeb"/>
        <w:numPr>
          <w:ilvl w:val="0"/>
          <w:numId w:val="1"/>
        </w:numPr>
        <w:jc w:val="both"/>
        <w:rPr>
          <w:rFonts w:asciiTheme="majorHAnsi" w:hAnsiTheme="majorHAnsi"/>
        </w:rPr>
      </w:pPr>
      <w:r w:rsidRPr="00E0691A">
        <w:rPr>
          <w:rFonts w:asciiTheme="majorHAnsi" w:hAnsiTheme="majorHAnsi"/>
        </w:rPr>
        <w:t xml:space="preserve">Vérifier la configuration </w:t>
      </w:r>
      <w:r w:rsidR="00D901C2" w:rsidRPr="00E0691A">
        <w:rPr>
          <w:rFonts w:asciiTheme="majorHAnsi" w:hAnsiTheme="majorHAnsi"/>
        </w:rPr>
        <w:t xml:space="preserve">adéquate </w:t>
      </w:r>
      <w:r w:rsidRPr="00E0691A">
        <w:rPr>
          <w:rFonts w:asciiTheme="majorHAnsi" w:hAnsiTheme="majorHAnsi"/>
        </w:rPr>
        <w:t>des droits des utilisateurs, notamment pour l’autorisation d’appels à l’international</w:t>
      </w:r>
      <w:r w:rsidR="00D901C2" w:rsidRPr="00E0691A">
        <w:rPr>
          <w:rFonts w:asciiTheme="majorHAnsi" w:hAnsiTheme="majorHAnsi"/>
        </w:rPr>
        <w:t>, la consultation de la messagerie à distance et la fonction de rappel depuis la messagerie</w:t>
      </w:r>
      <w:r w:rsidRPr="00E0691A">
        <w:rPr>
          <w:rFonts w:asciiTheme="majorHAnsi" w:hAnsiTheme="majorHAnsi"/>
        </w:rPr>
        <w:t xml:space="preserve"> ; </w:t>
      </w:r>
    </w:p>
    <w:p w:rsidR="00D901C2" w:rsidRPr="00E0691A" w:rsidRDefault="004E0352" w:rsidP="00D901C2">
      <w:pPr>
        <w:pStyle w:val="NormalWeb"/>
        <w:numPr>
          <w:ilvl w:val="0"/>
          <w:numId w:val="1"/>
        </w:numPr>
        <w:jc w:val="both"/>
        <w:rPr>
          <w:rFonts w:asciiTheme="majorHAnsi" w:hAnsiTheme="majorHAnsi"/>
        </w:rPr>
      </w:pPr>
      <w:r w:rsidRPr="00E0691A">
        <w:rPr>
          <w:rFonts w:asciiTheme="majorHAnsi" w:hAnsiTheme="majorHAnsi"/>
        </w:rPr>
        <w:t xml:space="preserve">Initialiser les codes d’accès </w:t>
      </w:r>
      <w:r w:rsidR="00D901C2" w:rsidRPr="00E0691A">
        <w:rPr>
          <w:rFonts w:asciiTheme="majorHAnsi" w:hAnsiTheme="majorHAnsi"/>
        </w:rPr>
        <w:t xml:space="preserve">des postes téléphoniques et </w:t>
      </w:r>
      <w:r w:rsidRPr="00E0691A">
        <w:rPr>
          <w:rFonts w:asciiTheme="majorHAnsi" w:hAnsiTheme="majorHAnsi"/>
        </w:rPr>
        <w:t xml:space="preserve">des boites vocales des utilisateurs à des valeurs autres que celles par défaut et </w:t>
      </w:r>
      <w:r w:rsidR="00D901C2" w:rsidRPr="00E0691A">
        <w:rPr>
          <w:rFonts w:asciiTheme="majorHAnsi" w:hAnsiTheme="majorHAnsi"/>
        </w:rPr>
        <w:t xml:space="preserve">non triviales (0000, 1234, etc.) ; </w:t>
      </w:r>
    </w:p>
    <w:p w:rsidR="004E0352" w:rsidRPr="00E0691A" w:rsidRDefault="00D901C2" w:rsidP="00D901C2">
      <w:pPr>
        <w:pStyle w:val="NormalWeb"/>
        <w:numPr>
          <w:ilvl w:val="0"/>
          <w:numId w:val="1"/>
        </w:numPr>
        <w:jc w:val="both"/>
        <w:rPr>
          <w:rFonts w:asciiTheme="majorHAnsi" w:hAnsiTheme="majorHAnsi"/>
        </w:rPr>
      </w:pPr>
      <w:r w:rsidRPr="00E0691A">
        <w:rPr>
          <w:rFonts w:asciiTheme="majorHAnsi" w:hAnsiTheme="majorHAnsi"/>
        </w:rPr>
        <w:t>D</w:t>
      </w:r>
      <w:r w:rsidR="004E0352" w:rsidRPr="00E0691A">
        <w:rPr>
          <w:rFonts w:asciiTheme="majorHAnsi" w:hAnsiTheme="majorHAnsi"/>
        </w:rPr>
        <w:t xml:space="preserve">emander aux utilisateurs déjà̀ enregistrés </w:t>
      </w:r>
      <w:r w:rsidRPr="00E0691A">
        <w:rPr>
          <w:rFonts w:asciiTheme="majorHAnsi" w:hAnsiTheme="majorHAnsi"/>
        </w:rPr>
        <w:t xml:space="preserve">d’adopter un code non trivial et </w:t>
      </w:r>
      <w:r w:rsidR="004E0352" w:rsidRPr="00E0691A">
        <w:rPr>
          <w:rFonts w:asciiTheme="majorHAnsi" w:hAnsiTheme="majorHAnsi"/>
        </w:rPr>
        <w:t xml:space="preserve">de </w:t>
      </w:r>
      <w:r w:rsidRPr="00E0691A">
        <w:rPr>
          <w:rFonts w:asciiTheme="majorHAnsi" w:hAnsiTheme="majorHAnsi"/>
        </w:rPr>
        <w:t xml:space="preserve">le </w:t>
      </w:r>
      <w:r w:rsidR="004E0352" w:rsidRPr="00E0691A">
        <w:rPr>
          <w:rFonts w:asciiTheme="majorHAnsi" w:hAnsiTheme="majorHAnsi"/>
        </w:rPr>
        <w:t xml:space="preserve">changer régulièrement. Si l’autocommutateur dispose d’une fonctionnalité́ permettant d’empêcher la configuration de codes d’accès triviaux (0000, 1234, etc.) celle-ci doit être activée ; </w:t>
      </w:r>
    </w:p>
    <w:p w:rsidR="004E0352" w:rsidRPr="00E0691A" w:rsidRDefault="004E0352" w:rsidP="00D901C2">
      <w:pPr>
        <w:pStyle w:val="NormalWeb"/>
        <w:numPr>
          <w:ilvl w:val="0"/>
          <w:numId w:val="1"/>
        </w:numPr>
        <w:spacing w:after="120" w:afterAutospacing="0"/>
        <w:ind w:left="714" w:hanging="357"/>
        <w:jc w:val="both"/>
        <w:rPr>
          <w:rFonts w:asciiTheme="majorHAnsi" w:hAnsiTheme="majorHAnsi"/>
        </w:rPr>
      </w:pPr>
      <w:r w:rsidRPr="00E0691A">
        <w:rPr>
          <w:rFonts w:asciiTheme="majorHAnsi" w:hAnsiTheme="majorHAnsi"/>
        </w:rPr>
        <w:t>Désactiver la fonction DISA (</w:t>
      </w:r>
      <w:r w:rsidRPr="00E0691A">
        <w:rPr>
          <w:rFonts w:asciiTheme="majorHAnsi" w:hAnsiTheme="majorHAnsi"/>
          <w:i/>
          <w:iCs/>
        </w:rPr>
        <w:t xml:space="preserve">Direct </w:t>
      </w:r>
      <w:proofErr w:type="spellStart"/>
      <w:r w:rsidRPr="00E0691A">
        <w:rPr>
          <w:rFonts w:asciiTheme="majorHAnsi" w:hAnsiTheme="majorHAnsi"/>
          <w:i/>
          <w:iCs/>
        </w:rPr>
        <w:t>Inward</w:t>
      </w:r>
      <w:proofErr w:type="spellEnd"/>
      <w:r w:rsidRPr="00E0691A">
        <w:rPr>
          <w:rFonts w:asciiTheme="majorHAnsi" w:hAnsiTheme="majorHAnsi"/>
          <w:i/>
          <w:iCs/>
        </w:rPr>
        <w:t xml:space="preserve"> System Access </w:t>
      </w:r>
      <w:r w:rsidRPr="00E0691A">
        <w:rPr>
          <w:rFonts w:asciiTheme="majorHAnsi" w:hAnsiTheme="majorHAnsi"/>
        </w:rPr>
        <w:t xml:space="preserve">: fonctionnalité́ permettant </w:t>
      </w:r>
      <w:proofErr w:type="spellStart"/>
      <w:r w:rsidRPr="00E0691A">
        <w:rPr>
          <w:rFonts w:asciiTheme="majorHAnsi" w:hAnsiTheme="majorHAnsi"/>
        </w:rPr>
        <w:t>a</w:t>
      </w:r>
      <w:proofErr w:type="spellEnd"/>
      <w:r w:rsidRPr="00E0691A">
        <w:rPr>
          <w:rFonts w:asciiTheme="majorHAnsi" w:hAnsiTheme="majorHAnsi"/>
        </w:rPr>
        <w:t xml:space="preserve">̀ un utilisateur externe d’accéder aux fonctionnalités du commutateur normalement accessibles uniquement en interne) si elle n’est pas nécessaire ou, dans le cas contraire, limiter les services de l’autocommutateur accessibles via cette fonction et les personnes pouvant accéder </w:t>
      </w:r>
      <w:proofErr w:type="spellStart"/>
      <w:r w:rsidRPr="00E0691A">
        <w:rPr>
          <w:rFonts w:asciiTheme="majorHAnsi" w:hAnsiTheme="majorHAnsi"/>
        </w:rPr>
        <w:t>a</w:t>
      </w:r>
      <w:proofErr w:type="spellEnd"/>
      <w:r w:rsidRPr="00E0691A">
        <w:rPr>
          <w:rFonts w:asciiTheme="majorHAnsi" w:hAnsiTheme="majorHAnsi"/>
        </w:rPr>
        <w:t xml:space="preserve">̀ ce service. </w:t>
      </w:r>
    </w:p>
    <w:p w:rsidR="004E0352" w:rsidRPr="00E0691A" w:rsidRDefault="004E0352" w:rsidP="00D901C2">
      <w:pPr>
        <w:pStyle w:val="NormalWeb"/>
        <w:spacing w:before="120" w:beforeAutospacing="0" w:after="120" w:afterAutospacing="0"/>
        <w:jc w:val="both"/>
        <w:rPr>
          <w:rFonts w:asciiTheme="majorHAnsi" w:hAnsiTheme="majorHAnsi"/>
        </w:rPr>
      </w:pPr>
      <w:r w:rsidRPr="00E0691A">
        <w:rPr>
          <w:rFonts w:asciiTheme="majorHAnsi" w:hAnsiTheme="majorHAnsi"/>
        </w:rPr>
        <w:t xml:space="preserve">Il est également vivement recommandé de rechercher la présence d’anomalies pouvant être le signe d’une compromission d’un autocommutateur. Ces anomalies peuvent être une facturation téléphonique d’un montant inhabituel ou des appels vers des destinations estrangères sans rapport avec l’activité́ professionnelle. </w:t>
      </w:r>
    </w:p>
    <w:p w:rsidR="004E0352" w:rsidRPr="00303970" w:rsidRDefault="004E0352" w:rsidP="00D901C2">
      <w:pPr>
        <w:pStyle w:val="NormalWeb"/>
        <w:spacing w:before="120" w:beforeAutospacing="0" w:after="120" w:afterAutospacing="0"/>
        <w:jc w:val="both"/>
        <w:rPr>
          <w:rFonts w:asciiTheme="majorHAnsi" w:hAnsiTheme="majorHAnsi"/>
        </w:rPr>
      </w:pPr>
      <w:r w:rsidRPr="00E0691A">
        <w:rPr>
          <w:rFonts w:asciiTheme="majorHAnsi" w:hAnsiTheme="majorHAnsi"/>
        </w:rPr>
        <w:t>Nous vous proposons d’analyser à nouveau votre installation afin de la mettre en adéquation avec les règles de sécurités citées ci-dessus. L’objectif étant</w:t>
      </w:r>
      <w:bookmarkStart w:id="0" w:name="_GoBack"/>
      <w:bookmarkEnd w:id="0"/>
      <w:r w:rsidRPr="00303970">
        <w:rPr>
          <w:rFonts w:asciiTheme="majorHAnsi" w:hAnsiTheme="majorHAnsi"/>
        </w:rPr>
        <w:t xml:space="preserve"> de minimiser les risques de fraude téléphonique.</w:t>
      </w:r>
    </w:p>
    <w:p w:rsidR="004E0352" w:rsidRPr="00303970" w:rsidRDefault="004E0352" w:rsidP="00D901C2">
      <w:pPr>
        <w:pStyle w:val="NormalWeb"/>
        <w:spacing w:before="120" w:beforeAutospacing="0" w:after="120" w:afterAutospacing="0"/>
        <w:jc w:val="both"/>
        <w:rPr>
          <w:rFonts w:asciiTheme="majorHAnsi" w:hAnsiTheme="majorHAnsi"/>
        </w:rPr>
      </w:pPr>
      <w:r w:rsidRPr="00303970">
        <w:rPr>
          <w:rFonts w:asciiTheme="majorHAnsi" w:hAnsiTheme="majorHAnsi"/>
        </w:rPr>
        <w:t>Le risque de fraude téléphonique ne pouvant être réduit à néant et votre satisfaction étant notre principale préoccupation nous nous proposons une tarification particulière pour cet audit.</w:t>
      </w:r>
    </w:p>
    <w:p w:rsidR="004E0352" w:rsidRDefault="004E0352" w:rsidP="00D901C2">
      <w:pPr>
        <w:pStyle w:val="NormalWeb"/>
        <w:spacing w:before="120" w:beforeAutospacing="0" w:after="120" w:afterAutospacing="0"/>
        <w:jc w:val="both"/>
        <w:rPr>
          <w:rFonts w:asciiTheme="majorHAnsi" w:hAnsiTheme="majorHAnsi"/>
        </w:rPr>
      </w:pPr>
      <w:r w:rsidRPr="00303970">
        <w:rPr>
          <w:rFonts w:asciiTheme="majorHAnsi" w:hAnsiTheme="majorHAnsi"/>
        </w:rPr>
        <w:t>Dans l’attente de vous rencontrer, nous vous prions d’agréer, Cher Client, l’assurance de nos sentiments distingués.</w:t>
      </w:r>
    </w:p>
    <w:p w:rsidR="004E0352" w:rsidRPr="00303970" w:rsidRDefault="004E0352" w:rsidP="004E0352">
      <w:pPr>
        <w:pStyle w:val="NormalWeb"/>
        <w:spacing w:before="960" w:beforeAutospacing="0" w:after="120" w:afterAutospacing="0"/>
        <w:ind w:left="4961"/>
        <w:jc w:val="center"/>
        <w:rPr>
          <w:rFonts w:asciiTheme="majorHAnsi" w:hAnsiTheme="majorHAnsi"/>
        </w:rPr>
      </w:pPr>
      <w:r>
        <w:rPr>
          <w:rFonts w:asciiTheme="majorHAnsi" w:hAnsiTheme="majorHAnsi"/>
        </w:rPr>
        <w:t>La Direction</w:t>
      </w:r>
    </w:p>
    <w:p w:rsidR="004E0352" w:rsidRPr="00303970" w:rsidRDefault="004E0352" w:rsidP="004E0352">
      <w:pPr>
        <w:pStyle w:val="NormalWeb"/>
        <w:spacing w:before="120" w:beforeAutospacing="0" w:after="120" w:afterAutospacing="0"/>
        <w:rPr>
          <w:rFonts w:asciiTheme="majorHAnsi" w:hAnsiTheme="majorHAnsi" w:cs="Arial"/>
          <w:i/>
        </w:rPr>
      </w:pPr>
      <w:r w:rsidRPr="00303970">
        <w:rPr>
          <w:rFonts w:asciiTheme="majorHAnsi" w:hAnsiTheme="majorHAnsi" w:cs="Arial"/>
          <w:i/>
        </w:rPr>
        <w:lastRenderedPageBreak/>
        <w:t xml:space="preserve">(*): Le CERT-FR, le centre gouvernemental de veille, d’alerte et de réponse aux attaques informatiques, </w:t>
      </w:r>
      <w:hyperlink r:id="rId6" w:history="1">
        <w:r w:rsidRPr="00303970">
          <w:rPr>
            <w:rStyle w:val="Lienhypertexte"/>
            <w:rFonts w:asciiTheme="majorHAnsi" w:hAnsiTheme="majorHAnsi" w:cs="Arial"/>
            <w:i/>
          </w:rPr>
          <w:t>http://cert.ssi.gouv.fr</w:t>
        </w:r>
      </w:hyperlink>
      <w:r w:rsidRPr="00303970">
        <w:rPr>
          <w:rFonts w:asciiTheme="majorHAnsi" w:hAnsiTheme="majorHAnsi" w:cs="Arial"/>
          <w:i/>
        </w:rPr>
        <w:t xml:space="preserve">, est une des composantes curatives complémentaires de l’ANSSI (Agence Nationale de Sécurité des Systèmes d’Information). </w:t>
      </w:r>
    </w:p>
    <w:p w:rsidR="00903AD8" w:rsidRDefault="00903AD8"/>
    <w:sectPr w:rsidR="00903AD8" w:rsidSect="0035170E">
      <w:pgSz w:w="11906" w:h="16838" w:code="9"/>
      <w:pgMar w:top="1702" w:right="1133" w:bottom="1418" w:left="1276"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978CC"/>
    <w:multiLevelType w:val="multilevel"/>
    <w:tmpl w:val="F724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352"/>
    <w:rsid w:val="004E0352"/>
    <w:rsid w:val="00903AD8"/>
    <w:rsid w:val="009B79C6"/>
    <w:rsid w:val="00A42F97"/>
    <w:rsid w:val="00D2633C"/>
    <w:rsid w:val="00D901C2"/>
    <w:rsid w:val="00E069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35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1">
    <w:name w:val="A1"/>
    <w:uiPriority w:val="99"/>
    <w:rsid w:val="004E0352"/>
    <w:rPr>
      <w:rFonts w:ascii="Helvetica 55 Roman" w:hAnsi="Helvetica 55 Roman" w:cs="Helvetica 55 Roman"/>
      <w:color w:val="000000"/>
      <w:sz w:val="22"/>
      <w:szCs w:val="22"/>
    </w:rPr>
  </w:style>
  <w:style w:type="character" w:styleId="Lienhypertexte">
    <w:name w:val="Hyperlink"/>
    <w:rsid w:val="004E0352"/>
    <w:rPr>
      <w:color w:val="0000FF"/>
      <w:u w:val="single"/>
    </w:rPr>
  </w:style>
  <w:style w:type="paragraph" w:styleId="NormalWeb">
    <w:name w:val="Normal (Web)"/>
    <w:basedOn w:val="Normal"/>
    <w:uiPriority w:val="99"/>
    <w:unhideWhenUsed/>
    <w:rsid w:val="004E0352"/>
    <w:pPr>
      <w:spacing w:before="100" w:beforeAutospacing="1" w:after="100" w:afterAutospacing="1"/>
    </w:pPr>
    <w:rPr>
      <w:rFonts w:ascii="Times" w:hAnsi="Times"/>
      <w:sz w:val="20"/>
      <w:szCs w:val="20"/>
    </w:rPr>
  </w:style>
  <w:style w:type="paragraph" w:styleId="Sous-titre">
    <w:name w:val="Subtitle"/>
    <w:basedOn w:val="Normal"/>
    <w:next w:val="Normal"/>
    <w:link w:val="Sous-titreCar"/>
    <w:qFormat/>
    <w:rsid w:val="004E0352"/>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4E0352"/>
    <w:rPr>
      <w:rFonts w:asciiTheme="majorHAnsi" w:eastAsiaTheme="majorEastAsia" w:hAnsiTheme="majorHAnsi" w:cstheme="majorBidi"/>
      <w:i/>
      <w:iCs/>
      <w:color w:val="4F81BD" w:themeColor="accent1"/>
      <w:spacing w:val="15"/>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35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1">
    <w:name w:val="A1"/>
    <w:uiPriority w:val="99"/>
    <w:rsid w:val="004E0352"/>
    <w:rPr>
      <w:rFonts w:ascii="Helvetica 55 Roman" w:hAnsi="Helvetica 55 Roman" w:cs="Helvetica 55 Roman"/>
      <w:color w:val="000000"/>
      <w:sz w:val="22"/>
      <w:szCs w:val="22"/>
    </w:rPr>
  </w:style>
  <w:style w:type="character" w:styleId="Lienhypertexte">
    <w:name w:val="Hyperlink"/>
    <w:rsid w:val="004E0352"/>
    <w:rPr>
      <w:color w:val="0000FF"/>
      <w:u w:val="single"/>
    </w:rPr>
  </w:style>
  <w:style w:type="paragraph" w:styleId="NormalWeb">
    <w:name w:val="Normal (Web)"/>
    <w:basedOn w:val="Normal"/>
    <w:uiPriority w:val="99"/>
    <w:unhideWhenUsed/>
    <w:rsid w:val="004E0352"/>
    <w:pPr>
      <w:spacing w:before="100" w:beforeAutospacing="1" w:after="100" w:afterAutospacing="1"/>
    </w:pPr>
    <w:rPr>
      <w:rFonts w:ascii="Times" w:hAnsi="Times"/>
      <w:sz w:val="20"/>
      <w:szCs w:val="20"/>
    </w:rPr>
  </w:style>
  <w:style w:type="paragraph" w:styleId="Sous-titre">
    <w:name w:val="Subtitle"/>
    <w:basedOn w:val="Normal"/>
    <w:next w:val="Normal"/>
    <w:link w:val="Sous-titreCar"/>
    <w:qFormat/>
    <w:rsid w:val="004E0352"/>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4E0352"/>
    <w:rPr>
      <w:rFonts w:asciiTheme="majorHAnsi" w:eastAsiaTheme="majorEastAsia" w:hAnsiTheme="majorHAnsi" w:cstheme="majorBidi"/>
      <w:i/>
      <w:iCs/>
      <w:color w:val="4F81BD" w:themeColor="accent1"/>
      <w:spacing w:val="15"/>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ert.ssi.gouv.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3038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EBEN</dc:creator>
  <cp:lastModifiedBy>Sandra MEUNIER</cp:lastModifiedBy>
  <cp:revision>3</cp:revision>
  <dcterms:created xsi:type="dcterms:W3CDTF">2016-11-23T15:39:00Z</dcterms:created>
  <dcterms:modified xsi:type="dcterms:W3CDTF">2016-11-29T08:39:00Z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ion">
    <vt:filetime>2016-11-23T10:33:49Z</vt:filetime>
  </property>
  <property fmtid="{D5CDD505-2E9C-101B-9397-08002B2CF9AE}" pid="3" name="Modification">
    <vt:filetime>2016-11-23T10:56:57Z</vt:filetime>
  </property>
  <property fmtid="{D5CDD505-2E9C-101B-9397-08002B2CF9AE}" pid="4" name="Createur">
    <vt:lpwstr>Marion Catier</vt:lpwstr>
  </property>
  <property fmtid="{D5CDD505-2E9C-101B-9397-08002B2CF9AE}" pid="5" name="Modificateur">
    <vt:lpwstr>Marion Catier</vt:lpwstr>
  </property>
  <property fmtid="{D5CDD505-2E9C-101B-9397-08002B2CF9AE}" pid="6" name="Producteur">
    <vt:lpwstr/>
  </property>
  <property fmtid="{D5CDD505-2E9C-101B-9397-08002B2CF9AE}" pid="7" name="Pole">
    <vt:lpwstr>Pôle Général</vt:lpwstr>
  </property>
  <property fmtid="{D5CDD505-2E9C-101B-9397-08002B2CF9AE}" pid="8" name="Departement">
    <vt:lpwstr>Département Presse et Pénal numérique</vt:lpwstr>
  </property>
  <property fmtid="{D5CDD505-2E9C-101B-9397-08002B2CF9AE}" pid="9" name="Manager">
    <vt:lpwstr>Virginie Bensoussan-Brulé</vt:lpwstr>
  </property>
  <property fmtid="{D5CDD505-2E9C-101B-9397-08002B2CF9AE}" pid="10" name="Path">
    <vt:lpwstr>T:\FEDERATION EBEN\1\30 AUTRES DOCUMENTS (PROJET ET VERSION DEFINITIVE)\2016 11 21 Courrier information client.docx</vt:lpwstr>
  </property>
  <property fmtid="{D5CDD505-2E9C-101B-9397-08002B2CF9AE}" pid="11" name="Keywords">
    <vt:lpwstr/>
  </property>
  <property fmtid="{D5CDD505-2E9C-101B-9397-08002B2CF9AE}" pid="12" name="ID">
    <vt:i4>0</vt:i4>
  </property>
  <property fmtid="{D5CDD505-2E9C-101B-9397-08002B2CF9AE}" pid="13" name="CurrentID">
    <vt:i4>0</vt:i4>
  </property>
</Properties>
</file>